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60" w:line="288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MAINTENANCE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GUIDELINES FOR SPC PRODUCTS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 </w:t>
      </w:r>
    </w:p>
    <w:p>
      <w:pPr>
        <w:pStyle w:val="Default"/>
        <w:bidi w:val="0"/>
        <w:spacing w:before="0" w:after="160" w:line="288" w:lineRule="auto"/>
        <w:ind w:left="0" w:right="0" w:firstLine="0"/>
        <w:jc w:val="both"/>
        <w:rPr>
          <w:rFonts w:ascii="Calibri" w:cs="Calibri" w:hAnsi="Calibri" w:eastAsia="Calibri"/>
          <w:b w:val="0"/>
          <w:bCs w:val="0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3284b"/>
          <w:sz w:val="22"/>
          <w:szCs w:val="22"/>
          <w:rtl w:val="0"/>
          <w:lang w:val="de-DE"/>
          <w14:textFill>
            <w14:solidFill>
              <w14:srgbClr w14:val="13284B"/>
            </w14:solidFill>
          </w14:textFill>
        </w:rPr>
        <w:t>SPC FLOATING PLANK FLOOR</w:t>
      </w:r>
      <w:r>
        <w:rPr>
          <w:rFonts w:ascii="Calibri" w:hAnsi="Calibri" w:hint="default"/>
          <w:b w:val="1"/>
          <w:bCs w:val="1"/>
          <w:outline w:val="0"/>
          <w:color w:val="13284b"/>
          <w:sz w:val="22"/>
          <w:szCs w:val="22"/>
          <w:rtl w:val="0"/>
          <w14:textFill>
            <w14:solidFill>
              <w14:srgbClr w14:val="13284B"/>
            </w14:solidFill>
          </w14:textFill>
        </w:rPr>
        <w:t> </w:t>
      </w:r>
    </w:p>
    <w:p>
      <w:pPr>
        <w:pStyle w:val="Default"/>
        <w:bidi w:val="0"/>
        <w:spacing w:before="0" w:after="80" w:line="288" w:lineRule="auto"/>
        <w:ind w:left="0" w:right="0" w:firstLine="0"/>
        <w:jc w:val="both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MAINTENANCE GUIDELINES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Initial maintenance can be performed immediately after installation of the SPC floating flooring.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Cleaning utilizing a neutral pH cleaning solution and mop is recommended.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White, green</w:t>
      </w:r>
      <w:r>
        <w:rPr>
          <w:rFonts w:ascii="Calibri" w:hAnsi="Calibri"/>
          <w:sz w:val="22"/>
          <w:szCs w:val="22"/>
          <w:rtl w:val="0"/>
          <w:lang w:val="en-US"/>
        </w:rPr>
        <w:t>,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or blue abrasive pads can be used to remove heavier deposits.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Rinse the floor thoroughly and allow to air dry. Do not overwater the flooring.</w:t>
      </w:r>
      <w:r>
        <w:rPr>
          <w:rFonts w:ascii="Calibri" w:hAnsi="Calibri" w:hint="default"/>
          <w:sz w:val="22"/>
          <w:szCs w:val="22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Daily and weekly maintenance by sweeping, vacuum</w:t>
      </w:r>
      <w:r>
        <w:rPr>
          <w:rFonts w:ascii="Calibri" w:hAnsi="Calibri"/>
          <w:sz w:val="22"/>
          <w:szCs w:val="22"/>
          <w:rtl w:val="0"/>
          <w:lang w:val="en-US"/>
        </w:rPr>
        <w:t>ing,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or dust mopping the floor as needed to remove dust loose dirt and grit.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In high traffic areas this may be a daily or twice daily procedure.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Use only vacuums that do not have bristle beater bars or metal heads. </w:t>
      </w:r>
    </w:p>
    <w:p>
      <w:pPr>
        <w:pStyle w:val="Default"/>
        <w:numPr>
          <w:ilvl w:val="0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Clean liquid spills immediately to prevent the possibility of stains, slips</w:t>
      </w:r>
      <w:r>
        <w:rPr>
          <w:rFonts w:ascii="Calibri" w:hAnsi="Calibri"/>
          <w:sz w:val="22"/>
          <w:szCs w:val="22"/>
          <w:rtl w:val="0"/>
          <w:lang w:val="en-US"/>
        </w:rPr>
        <w:t>,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or falls. </w:t>
      </w:r>
    </w:p>
    <w:p>
      <w:pPr>
        <w:pStyle w:val="Default"/>
        <w:numPr>
          <w:ilvl w:val="0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Damp mop the floor as needed to remove dirt and stains.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Use a neutral pH cleaner and a white, green or blue pad if needed to remove ground in dirt.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Soft white bristle brushes can also be used on flooring with embossed surfaces. </w:t>
      </w:r>
    </w:p>
    <w:p>
      <w:pPr>
        <w:pStyle w:val="Default"/>
        <w:numPr>
          <w:ilvl w:val="0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Preventative steps</w:t>
      </w:r>
      <w:r>
        <w:rPr>
          <w:rFonts w:ascii="Calibri" w:hAnsi="Calibri"/>
          <w:sz w:val="22"/>
          <w:szCs w:val="22"/>
          <w:rtl w:val="0"/>
          <w:lang w:val="en-US"/>
        </w:rPr>
        <w:t>:</w:t>
      </w:r>
    </w:p>
    <w:p>
      <w:pPr>
        <w:pStyle w:val="Default"/>
        <w:numPr>
          <w:ilvl w:val="1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Use mats at all entry areas to keep dirt, sand and water off of the floor. Clean the mats on a regular basis. If mats are placed directly on top of the </w:t>
      </w:r>
      <w:r>
        <w:rPr>
          <w:rFonts w:ascii="Calibri" w:hAnsi="Calibri"/>
          <w:sz w:val="22"/>
          <w:szCs w:val="22"/>
          <w:rtl w:val="0"/>
          <w:lang w:val="en-US"/>
        </w:rPr>
        <w:t>SPC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floating floor, be sure the mats have a non-staining back.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Rubber mats are not recommended over </w:t>
      </w:r>
      <w:r>
        <w:rPr>
          <w:rFonts w:ascii="Calibri" w:hAnsi="Calibri"/>
          <w:sz w:val="22"/>
          <w:szCs w:val="22"/>
          <w:rtl w:val="0"/>
          <w:lang w:val="en-US"/>
        </w:rPr>
        <w:t>SPC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flooring products. </w:t>
      </w:r>
    </w:p>
    <w:p>
      <w:pPr>
        <w:pStyle w:val="Default"/>
        <w:numPr>
          <w:ilvl w:val="1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Furniture shall have protective glides of at least 1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in diameter to minimize indentations or scratching to the surface of the floor.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Do not use narrow chair glides!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Felt pads are also excellent protection for the floor for furniture that will be frequently moved directly across the floor. </w:t>
      </w:r>
    </w:p>
    <w:p>
      <w:pPr>
        <w:pStyle w:val="Default"/>
        <w:numPr>
          <w:ilvl w:val="1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Do not move heavy furniture, appliances</w:t>
      </w:r>
      <w:r>
        <w:rPr>
          <w:rFonts w:ascii="Calibri" w:hAnsi="Calibri"/>
          <w:sz w:val="22"/>
          <w:szCs w:val="22"/>
          <w:rtl w:val="0"/>
          <w:lang w:val="en-US"/>
        </w:rPr>
        <w:t>,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or fixtures directly across the floor.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Use protective boards or appropriate furniture movers designed for use over hard surface flooring. </w:t>
      </w:r>
    </w:p>
    <w:p>
      <w:pPr>
        <w:pStyle w:val="Default"/>
        <w:numPr>
          <w:ilvl w:val="1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Protect the floor from direct sunlight by using appropriate window coverings. </w:t>
      </w:r>
    </w:p>
    <w:p>
      <w:pPr>
        <w:pStyle w:val="Default"/>
        <w:numPr>
          <w:ilvl w:val="1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Areas with caster chairs must have protective mats under the chairs. Use chair mats at desks to protect the floor from damage due to chair legs or casters.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Periodically clean caster wheels and check for wheels 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 xml:space="preserve">that may be broken or no longer rotating.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Replace damaged wheels immediately. </w:t>
      </w:r>
    </w:p>
    <w:p>
      <w:pPr>
        <w:pStyle w:val="Default"/>
        <w:numPr>
          <w:ilvl w:val="1"/>
          <w:numId w:val="2"/>
        </w:numPr>
        <w:bidi w:val="0"/>
        <w:spacing w:before="0" w:after="80" w:line="288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Avoid use of metal or razor scrapers to remove dirt, residues</w:t>
      </w:r>
      <w:r>
        <w:rPr>
          <w:rFonts w:ascii="Calibri" w:hAnsi="Calibri"/>
          <w:sz w:val="22"/>
          <w:szCs w:val="22"/>
          <w:rtl w:val="0"/>
          <w:lang w:val="en-US"/>
        </w:rPr>
        <w:t>,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or other marks from flooring.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This will damage the protective wear layer of the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SPC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flooring. 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</w:r>
    </w:p>
    <w:p>
      <w:pPr>
        <w:pStyle w:val="Default"/>
        <w:bidi w:val="0"/>
        <w:spacing w:before="0" w:after="80" w:line="288" w:lineRule="auto"/>
        <w:ind w:left="0" w:right="0" w:firstLine="0"/>
        <w:jc w:val="both"/>
        <w:rPr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These instructions are general guidelines for the proper procedures for maintaining this flooring product.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For any applications not listed or detailed instructions on </w:t>
      </w:r>
      <w:r>
        <w:rPr>
          <w:rFonts w:ascii="Calibri" w:hAnsi="Calibri"/>
          <w:sz w:val="22"/>
          <w:szCs w:val="22"/>
          <w:rtl w:val="0"/>
          <w:lang w:val="en-US"/>
        </w:rPr>
        <w:t>m</w:t>
      </w:r>
      <w:r>
        <w:rPr>
          <w:rFonts w:ascii="Calibri" w:hAnsi="Calibri"/>
          <w:sz w:val="22"/>
          <w:szCs w:val="22"/>
          <w:rtl w:val="0"/>
          <w:lang w:val="en-US"/>
        </w:rPr>
        <w:t>aintenance, please contact seller.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aphik">
    <w:charset w:val="00"/>
    <w:family w:val="roman"/>
    <w:pitch w:val="default"/>
  </w:font>
  <w:font w:name="Gotham-Thin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Gotham-Thin" w:hAnsi="Gotham-Thin"/>
        <w:sz w:val="16"/>
        <w:szCs w:val="16"/>
      </w:rPr>
      <w:tab/>
    </w:r>
    <w:r>
      <w:rPr>
        <w:rFonts w:ascii="Gotham-Thin" w:hAnsi="Gotham-Thin"/>
        <w:sz w:val="16"/>
        <w:szCs w:val="16"/>
        <w:rtl w:val="0"/>
        <w:lang w:val="en-US"/>
      </w:rPr>
      <w:t xml:space="preserve">Page </w:t>
    </w:r>
    <w:r>
      <w:rPr>
        <w:rFonts w:ascii="Gotham-Thin" w:cs="Gotham-Thin" w:hAnsi="Gotham-Thin" w:eastAsia="Gotham-Thin"/>
        <w:sz w:val="16"/>
        <w:szCs w:val="16"/>
      </w:rPr>
      <w:fldChar w:fldCharType="begin" w:fldLock="0"/>
    </w:r>
    <w:r>
      <w:rPr>
        <w:rFonts w:ascii="Gotham-Thin" w:cs="Gotham-Thin" w:hAnsi="Gotham-Thin" w:eastAsia="Gotham-Thin"/>
        <w:sz w:val="16"/>
        <w:szCs w:val="16"/>
      </w:rPr>
      <w:instrText xml:space="preserve"> PAGE </w:instrText>
    </w:r>
    <w:r>
      <w:rPr>
        <w:rFonts w:ascii="Gotham-Thin" w:cs="Gotham-Thin" w:hAnsi="Gotham-Thin" w:eastAsia="Gotham-Thin"/>
        <w:sz w:val="16"/>
        <w:szCs w:val="16"/>
      </w:rPr>
      <w:fldChar w:fldCharType="separate" w:fldLock="0"/>
    </w:r>
    <w:r>
      <w:rPr>
        <w:rFonts w:ascii="Gotham-Thin" w:cs="Gotham-Thin" w:hAnsi="Gotham-Thin" w:eastAsia="Gotham-Thin"/>
        <w:sz w:val="16"/>
        <w:szCs w:val="16"/>
      </w:rPr>
    </w:r>
    <w:r>
      <w:rPr>
        <w:rFonts w:ascii="Gotham-Thin" w:cs="Gotham-Thin" w:hAnsi="Gotham-Thin" w:eastAsia="Gotham-Thin"/>
        <w:sz w:val="16"/>
        <w:szCs w:val="16"/>
      </w:rPr>
      <w:fldChar w:fldCharType="end" w:fldLock="0"/>
    </w:r>
    <w:r>
      <w:rPr>
        <w:rFonts w:ascii="Gotham-Thin" w:hAnsi="Gotham-Thin"/>
        <w:sz w:val="16"/>
        <w:szCs w:val="16"/>
        <w:rtl w:val="0"/>
        <w:lang w:val="en-US"/>
      </w:rPr>
      <w:t xml:space="preserve"> of </w:t>
    </w:r>
    <w:r>
      <w:rPr>
        <w:rFonts w:ascii="Gotham-Thin" w:cs="Gotham-Thin" w:hAnsi="Gotham-Thin" w:eastAsia="Gotham-Thin"/>
        <w:sz w:val="16"/>
        <w:szCs w:val="16"/>
      </w:rPr>
      <w:fldChar w:fldCharType="begin" w:fldLock="0"/>
    </w:r>
    <w:r>
      <w:rPr>
        <w:rFonts w:ascii="Gotham-Thin" w:cs="Gotham-Thin" w:hAnsi="Gotham-Thin" w:eastAsia="Gotham-Thin"/>
        <w:sz w:val="16"/>
        <w:szCs w:val="16"/>
      </w:rPr>
      <w:instrText xml:space="preserve"> NUMPAGES </w:instrText>
    </w:r>
    <w:r>
      <w:rPr>
        <w:rFonts w:ascii="Gotham-Thin" w:cs="Gotham-Thin" w:hAnsi="Gotham-Thin" w:eastAsia="Gotham-Thin"/>
        <w:sz w:val="16"/>
        <w:szCs w:val="16"/>
      </w:rPr>
      <w:fldChar w:fldCharType="separate" w:fldLock="0"/>
    </w:r>
    <w:r>
      <w:rPr>
        <w:rFonts w:ascii="Gotham-Thin" w:cs="Gotham-Thin" w:hAnsi="Gotham-Thin" w:eastAsia="Gotham-Thin"/>
        <w:sz w:val="16"/>
        <w:szCs w:val="16"/>
      </w:rPr>
    </w:r>
    <w:r>
      <w:rPr>
        <w:rFonts w:ascii="Gotham-Thin" w:cs="Gotham-Thin" w:hAnsi="Gotham-Thin" w:eastAsia="Gotham-Thin"/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4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0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4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64" w:hanging="284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raphik"/>
        <a:ea typeface="Graphik"/>
        <a:cs typeface="Graphik"/>
      </a:majorFont>
      <a:minorFont>
        <a:latin typeface="Graphik"/>
        <a:ea typeface="Graphik"/>
        <a:cs typeface="Graphi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